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22664" w14:textId="77777777" w:rsidR="007A418D" w:rsidRDefault="007A418D" w:rsidP="009D05C5">
      <w:pPr>
        <w:rPr>
          <w:b/>
          <w:i/>
        </w:rPr>
      </w:pPr>
    </w:p>
    <w:p w14:paraId="6F77746F" w14:textId="77777777" w:rsidR="007A418D" w:rsidRDefault="007A418D" w:rsidP="009D05C5">
      <w:pPr>
        <w:rPr>
          <w:b/>
          <w:i/>
        </w:rPr>
      </w:pPr>
    </w:p>
    <w:p w14:paraId="54BAC9AC" w14:textId="77777777" w:rsidR="0062430A" w:rsidRPr="00F74127" w:rsidRDefault="00C53AF1" w:rsidP="0062430A">
      <w:pPr>
        <w:jc w:val="center"/>
        <w:rPr>
          <w:b/>
          <w:sz w:val="26"/>
          <w:szCs w:val="26"/>
        </w:rPr>
      </w:pPr>
      <w:r w:rsidRPr="00F74127">
        <w:rPr>
          <w:b/>
          <w:sz w:val="26"/>
          <w:szCs w:val="26"/>
        </w:rPr>
        <w:t xml:space="preserve">District 20 </w:t>
      </w:r>
      <w:r w:rsidR="0062430A" w:rsidRPr="00F74127">
        <w:rPr>
          <w:b/>
          <w:sz w:val="26"/>
          <w:szCs w:val="26"/>
        </w:rPr>
        <w:t>Elementary School Grading Policy</w:t>
      </w:r>
      <w:r w:rsidRPr="00F74127">
        <w:rPr>
          <w:b/>
          <w:sz w:val="26"/>
          <w:szCs w:val="26"/>
        </w:rPr>
        <w:t xml:space="preserve"> for Remote Learning</w:t>
      </w:r>
    </w:p>
    <w:p w14:paraId="1CD7B55C" w14:textId="77777777" w:rsidR="00C53AF1" w:rsidRPr="00F74127" w:rsidRDefault="00C53AF1" w:rsidP="0062430A">
      <w:pPr>
        <w:jc w:val="center"/>
        <w:rPr>
          <w:b/>
          <w:sz w:val="26"/>
          <w:szCs w:val="26"/>
        </w:rPr>
      </w:pPr>
    </w:p>
    <w:p w14:paraId="1A555727" w14:textId="77777777" w:rsidR="00C53AF1" w:rsidRPr="00F74127" w:rsidRDefault="00C53AF1" w:rsidP="00C53AF1">
      <w:pPr>
        <w:rPr>
          <w:b/>
          <w:sz w:val="26"/>
          <w:szCs w:val="26"/>
        </w:rPr>
      </w:pPr>
    </w:p>
    <w:p w14:paraId="56FD26A5" w14:textId="77777777" w:rsidR="00C53AF1" w:rsidRPr="00F74127" w:rsidRDefault="00C53AF1" w:rsidP="00C53AF1">
      <w:pPr>
        <w:rPr>
          <w:sz w:val="26"/>
          <w:szCs w:val="26"/>
        </w:rPr>
      </w:pPr>
      <w:r w:rsidRPr="00F74127">
        <w:rPr>
          <w:sz w:val="26"/>
          <w:szCs w:val="26"/>
        </w:rPr>
        <w:t xml:space="preserve">District 20’s </w:t>
      </w:r>
      <w:r w:rsidR="00BA7323" w:rsidRPr="00F74127">
        <w:rPr>
          <w:sz w:val="26"/>
          <w:szCs w:val="26"/>
        </w:rPr>
        <w:t xml:space="preserve">existing </w:t>
      </w:r>
      <w:r w:rsidRPr="00F74127">
        <w:rPr>
          <w:sz w:val="26"/>
          <w:szCs w:val="26"/>
        </w:rPr>
        <w:t xml:space="preserve">grading policy remains intact throughout remote learning; however, this guidance serves to </w:t>
      </w:r>
      <w:r w:rsidR="00713262">
        <w:rPr>
          <w:sz w:val="26"/>
          <w:szCs w:val="26"/>
        </w:rPr>
        <w:t>align</w:t>
      </w:r>
      <w:r w:rsidRPr="00F74127">
        <w:rPr>
          <w:sz w:val="26"/>
          <w:szCs w:val="26"/>
        </w:rPr>
        <w:t xml:space="preserve"> the </w:t>
      </w:r>
      <w:hyperlink r:id="rId6" w:history="1">
        <w:r w:rsidRPr="00F74127">
          <w:rPr>
            <w:rStyle w:val="Hyperlink"/>
            <w:sz w:val="26"/>
            <w:szCs w:val="26"/>
          </w:rPr>
          <w:t xml:space="preserve">existing </w:t>
        </w:r>
        <w:r w:rsidR="00483216">
          <w:rPr>
            <w:rStyle w:val="Hyperlink"/>
            <w:sz w:val="26"/>
            <w:szCs w:val="26"/>
          </w:rPr>
          <w:t>D</w:t>
        </w:r>
        <w:r w:rsidR="009D58C3" w:rsidRPr="00F74127">
          <w:rPr>
            <w:rStyle w:val="Hyperlink"/>
            <w:sz w:val="26"/>
            <w:szCs w:val="26"/>
          </w:rPr>
          <w:t xml:space="preserve">istrict 20 grading </w:t>
        </w:r>
        <w:r w:rsidRPr="00F74127">
          <w:rPr>
            <w:rStyle w:val="Hyperlink"/>
            <w:sz w:val="26"/>
            <w:szCs w:val="26"/>
          </w:rPr>
          <w:t>policy</w:t>
        </w:r>
      </w:hyperlink>
      <w:r w:rsidR="00BA7323" w:rsidRPr="00F74127">
        <w:rPr>
          <w:sz w:val="26"/>
          <w:szCs w:val="26"/>
        </w:rPr>
        <w:t xml:space="preserve"> and the </w:t>
      </w:r>
      <w:hyperlink r:id="rId7" w:history="1">
        <w:r w:rsidR="00BA7323" w:rsidRPr="00F74127">
          <w:rPr>
            <w:rStyle w:val="Hyperlink"/>
            <w:sz w:val="26"/>
            <w:szCs w:val="26"/>
          </w:rPr>
          <w:t xml:space="preserve">NYC DOE </w:t>
        </w:r>
        <w:r w:rsidRPr="00F74127">
          <w:rPr>
            <w:rStyle w:val="Hyperlink"/>
            <w:sz w:val="26"/>
            <w:szCs w:val="26"/>
          </w:rPr>
          <w:t xml:space="preserve">remote </w:t>
        </w:r>
        <w:r w:rsidR="00BA7323" w:rsidRPr="00F74127">
          <w:rPr>
            <w:rStyle w:val="Hyperlink"/>
            <w:sz w:val="26"/>
            <w:szCs w:val="26"/>
          </w:rPr>
          <w:t>learning grading policy</w:t>
        </w:r>
      </w:hyperlink>
      <w:r w:rsidR="004B293B" w:rsidRPr="00F74127">
        <w:rPr>
          <w:sz w:val="26"/>
          <w:szCs w:val="26"/>
        </w:rPr>
        <w:t>, updated April 28, 2020</w:t>
      </w:r>
      <w:r w:rsidRPr="00F74127">
        <w:rPr>
          <w:sz w:val="26"/>
          <w:szCs w:val="26"/>
        </w:rPr>
        <w:t>.</w:t>
      </w:r>
    </w:p>
    <w:p w14:paraId="48C0599D" w14:textId="77777777" w:rsidR="00C53AF1" w:rsidRPr="00F74127" w:rsidRDefault="00C53AF1" w:rsidP="00C53AF1">
      <w:pPr>
        <w:rPr>
          <w:sz w:val="26"/>
          <w:szCs w:val="26"/>
        </w:rPr>
      </w:pPr>
    </w:p>
    <w:p w14:paraId="163AB56D" w14:textId="77777777" w:rsidR="00A84A31" w:rsidRPr="00F74127" w:rsidRDefault="00A84A31" w:rsidP="009D05C5">
      <w:pPr>
        <w:rPr>
          <w:b/>
          <w:i/>
          <w:sz w:val="26"/>
          <w:szCs w:val="26"/>
        </w:rPr>
      </w:pPr>
      <w:r w:rsidRPr="00F74127">
        <w:rPr>
          <w:b/>
          <w:i/>
          <w:sz w:val="26"/>
          <w:szCs w:val="26"/>
        </w:rPr>
        <w:t>Report Cards</w:t>
      </w:r>
    </w:p>
    <w:p w14:paraId="654EE4D2" w14:textId="40B2F349" w:rsidR="0062430A" w:rsidRPr="00F74127" w:rsidRDefault="0062430A" w:rsidP="009D05C5">
      <w:pPr>
        <w:rPr>
          <w:sz w:val="26"/>
          <w:szCs w:val="26"/>
        </w:rPr>
      </w:pPr>
      <w:r w:rsidRPr="00F74127">
        <w:rPr>
          <w:sz w:val="26"/>
          <w:szCs w:val="26"/>
        </w:rPr>
        <w:t>Students</w:t>
      </w:r>
      <w:r w:rsidR="00A84A31" w:rsidRPr="00F74127">
        <w:rPr>
          <w:sz w:val="26"/>
          <w:szCs w:val="26"/>
        </w:rPr>
        <w:t xml:space="preserve"> will receive report cards three times in the school year.  Report cards will be issued </w:t>
      </w:r>
      <w:r w:rsidR="00075C10" w:rsidRPr="00F74127">
        <w:rPr>
          <w:sz w:val="26"/>
          <w:szCs w:val="26"/>
        </w:rPr>
        <w:t>at</w:t>
      </w:r>
      <w:r w:rsidR="00C53AF1" w:rsidRPr="00F74127">
        <w:rPr>
          <w:sz w:val="26"/>
          <w:szCs w:val="26"/>
        </w:rPr>
        <w:t xml:space="preserve"> the end o</w:t>
      </w:r>
      <w:r w:rsidR="0045222F" w:rsidRPr="00F74127">
        <w:rPr>
          <w:sz w:val="26"/>
          <w:szCs w:val="26"/>
        </w:rPr>
        <w:t xml:space="preserve">f each marking period.  </w:t>
      </w:r>
      <w:r w:rsidR="004B293B" w:rsidRPr="00F74127">
        <w:rPr>
          <w:sz w:val="26"/>
          <w:szCs w:val="26"/>
        </w:rPr>
        <w:t xml:space="preserve">“Schools must use </w:t>
      </w:r>
      <w:r w:rsidR="009D58C3" w:rsidRPr="00F74127">
        <w:rPr>
          <w:sz w:val="26"/>
          <w:szCs w:val="26"/>
        </w:rPr>
        <w:t xml:space="preserve">their </w:t>
      </w:r>
      <w:r w:rsidR="004B293B" w:rsidRPr="00F74127">
        <w:rPr>
          <w:sz w:val="26"/>
          <w:szCs w:val="26"/>
        </w:rPr>
        <w:t xml:space="preserve">existing grading scales for </w:t>
      </w:r>
      <w:r w:rsidR="004B293B" w:rsidRPr="00F74127">
        <w:rPr>
          <w:b/>
          <w:sz w:val="26"/>
          <w:szCs w:val="26"/>
        </w:rPr>
        <w:t>marking period grades</w:t>
      </w:r>
      <w:r w:rsidR="004B293B" w:rsidRPr="00F74127">
        <w:rPr>
          <w:sz w:val="26"/>
          <w:szCs w:val="26"/>
        </w:rPr>
        <w:t xml:space="preserve"> for the rest of the year.”  This means, just</w:t>
      </w:r>
      <w:r w:rsidR="0045222F" w:rsidRPr="00F74127">
        <w:rPr>
          <w:sz w:val="26"/>
          <w:szCs w:val="26"/>
        </w:rPr>
        <w:t xml:space="preserve"> like the 1</w:t>
      </w:r>
      <w:r w:rsidR="0045222F" w:rsidRPr="00F74127">
        <w:rPr>
          <w:sz w:val="26"/>
          <w:szCs w:val="26"/>
          <w:vertAlign w:val="superscript"/>
        </w:rPr>
        <w:t>st</w:t>
      </w:r>
      <w:r w:rsidR="0045222F" w:rsidRPr="00F74127">
        <w:rPr>
          <w:sz w:val="26"/>
          <w:szCs w:val="26"/>
        </w:rPr>
        <w:t xml:space="preserve"> and 2</w:t>
      </w:r>
      <w:r w:rsidR="0045222F" w:rsidRPr="00F74127">
        <w:rPr>
          <w:sz w:val="26"/>
          <w:szCs w:val="26"/>
          <w:vertAlign w:val="superscript"/>
        </w:rPr>
        <w:t>nd</w:t>
      </w:r>
      <w:r w:rsidR="0045222F" w:rsidRPr="00F74127">
        <w:rPr>
          <w:sz w:val="26"/>
          <w:szCs w:val="26"/>
        </w:rPr>
        <w:t xml:space="preserve"> marking periods, the 3</w:t>
      </w:r>
      <w:r w:rsidR="0045222F" w:rsidRPr="00F74127">
        <w:rPr>
          <w:sz w:val="26"/>
          <w:szCs w:val="26"/>
          <w:vertAlign w:val="superscript"/>
        </w:rPr>
        <w:t>rd</w:t>
      </w:r>
      <w:r w:rsidR="0045222F" w:rsidRPr="00F74127">
        <w:rPr>
          <w:sz w:val="26"/>
          <w:szCs w:val="26"/>
        </w:rPr>
        <w:t xml:space="preserve"> marking period </w:t>
      </w:r>
      <w:r w:rsidR="009D58C3" w:rsidRPr="00F74127">
        <w:rPr>
          <w:sz w:val="26"/>
          <w:szCs w:val="26"/>
        </w:rPr>
        <w:t xml:space="preserve">grades will </w:t>
      </w:r>
      <w:r w:rsidR="00180A03" w:rsidRPr="00F74127">
        <w:rPr>
          <w:sz w:val="26"/>
          <w:szCs w:val="26"/>
        </w:rPr>
        <w:t>continue to use the same grading scale used to date, either percentage grades</w:t>
      </w:r>
      <w:r w:rsidR="009627B8">
        <w:rPr>
          <w:sz w:val="26"/>
          <w:szCs w:val="26"/>
        </w:rPr>
        <w:t xml:space="preserve"> 3, 4 and 5</w:t>
      </w:r>
      <w:r w:rsidR="00180A03" w:rsidRPr="00F74127">
        <w:rPr>
          <w:sz w:val="26"/>
          <w:szCs w:val="26"/>
        </w:rPr>
        <w:t xml:space="preserve"> or level grades</w:t>
      </w:r>
      <w:r w:rsidR="009627B8">
        <w:rPr>
          <w:sz w:val="26"/>
          <w:szCs w:val="26"/>
        </w:rPr>
        <w:t xml:space="preserve"> (K, 1 and 2)</w:t>
      </w:r>
      <w:r w:rsidR="00180A03" w:rsidRPr="00F74127">
        <w:rPr>
          <w:sz w:val="26"/>
          <w:szCs w:val="26"/>
        </w:rPr>
        <w:t>.</w:t>
      </w:r>
      <w:r w:rsidR="009627B8">
        <w:rPr>
          <w:sz w:val="26"/>
          <w:szCs w:val="26"/>
        </w:rPr>
        <w:t xml:space="preserve"> Level grades must be backed up by percentage evidence should parents request it. </w:t>
      </w:r>
    </w:p>
    <w:p w14:paraId="1EAD3E68" w14:textId="77777777" w:rsidR="0045222F" w:rsidRPr="00F74127" w:rsidRDefault="0045222F" w:rsidP="009D05C5">
      <w:pPr>
        <w:rPr>
          <w:sz w:val="26"/>
          <w:szCs w:val="26"/>
        </w:rPr>
      </w:pPr>
    </w:p>
    <w:p w14:paraId="773FE7C1" w14:textId="77777777" w:rsidR="004B293B" w:rsidRPr="00F74127" w:rsidRDefault="004B293B" w:rsidP="009D05C5">
      <w:pPr>
        <w:rPr>
          <w:sz w:val="26"/>
          <w:szCs w:val="26"/>
        </w:rPr>
      </w:pPr>
      <w:r w:rsidRPr="00F74127">
        <w:rPr>
          <w:sz w:val="26"/>
          <w:szCs w:val="26"/>
        </w:rPr>
        <w:t>“</w:t>
      </w:r>
      <w:r w:rsidR="0062430A" w:rsidRPr="00F74127">
        <w:rPr>
          <w:sz w:val="26"/>
          <w:szCs w:val="26"/>
        </w:rPr>
        <w:t xml:space="preserve">In </w:t>
      </w:r>
      <w:r w:rsidRPr="00F74127">
        <w:rPr>
          <w:sz w:val="26"/>
          <w:szCs w:val="26"/>
        </w:rPr>
        <w:t xml:space="preserve">grades K-5, schools must award </w:t>
      </w:r>
      <w:r w:rsidRPr="00F74127">
        <w:rPr>
          <w:b/>
          <w:sz w:val="26"/>
          <w:szCs w:val="26"/>
        </w:rPr>
        <w:t>final grades</w:t>
      </w:r>
      <w:r w:rsidRPr="00F74127">
        <w:rPr>
          <w:sz w:val="26"/>
          <w:szCs w:val="26"/>
        </w:rPr>
        <w:t xml:space="preserve"> of meets standards (MT) and needs improvement (N) only.”</w:t>
      </w:r>
      <w:r w:rsidR="0093330E" w:rsidRPr="00F74127">
        <w:rPr>
          <w:sz w:val="26"/>
          <w:szCs w:val="26"/>
        </w:rPr>
        <w:t xml:space="preserve"> </w:t>
      </w:r>
      <w:r w:rsidR="00483216">
        <w:rPr>
          <w:sz w:val="26"/>
          <w:szCs w:val="26"/>
        </w:rPr>
        <w:t xml:space="preserve"> The following chart shows how D</w:t>
      </w:r>
      <w:r w:rsidR="0093330E" w:rsidRPr="00F74127">
        <w:rPr>
          <w:sz w:val="26"/>
          <w:szCs w:val="26"/>
        </w:rPr>
        <w:t>istrict 20 elementary schools will relate MT and N to their prior final grade scales and p</w:t>
      </w:r>
      <w:r w:rsidR="00D94CCB" w:rsidRPr="00F74127">
        <w:rPr>
          <w:sz w:val="26"/>
          <w:szCs w:val="26"/>
        </w:rPr>
        <w:t>ractices:</w:t>
      </w:r>
    </w:p>
    <w:p w14:paraId="69AADE5B" w14:textId="77777777" w:rsidR="0093330E" w:rsidRPr="00F74127" w:rsidRDefault="0093330E" w:rsidP="009D05C5">
      <w:pPr>
        <w:rPr>
          <w:sz w:val="26"/>
          <w:szCs w:val="26"/>
        </w:rPr>
      </w:pPr>
      <w:bookmarkStart w:id="0" w:name="_GoBack"/>
      <w:bookmarkEnd w:id="0"/>
    </w:p>
    <w:tbl>
      <w:tblPr>
        <w:tblStyle w:val="TableGrid"/>
        <w:tblW w:w="7011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</w:tblGrid>
      <w:tr w:rsidR="006D64CD" w:rsidRPr="00F74127" w14:paraId="3E6B13B7" w14:textId="77777777" w:rsidTr="00CE6BF3">
        <w:tc>
          <w:tcPr>
            <w:tcW w:w="2337" w:type="dxa"/>
          </w:tcPr>
          <w:p w14:paraId="5B214404" w14:textId="77777777" w:rsidR="006D64CD" w:rsidRPr="00F74127" w:rsidRDefault="006D64CD" w:rsidP="006D64CD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Excels in standards</w:t>
            </w:r>
          </w:p>
        </w:tc>
        <w:tc>
          <w:tcPr>
            <w:tcW w:w="2337" w:type="dxa"/>
          </w:tcPr>
          <w:p w14:paraId="263B2A11" w14:textId="77777777" w:rsidR="006D64CD" w:rsidRPr="00F74127" w:rsidRDefault="006D64CD" w:rsidP="006D64CD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92%-100%</w:t>
            </w:r>
          </w:p>
        </w:tc>
        <w:tc>
          <w:tcPr>
            <w:tcW w:w="2337" w:type="dxa"/>
          </w:tcPr>
          <w:p w14:paraId="46C99522" w14:textId="77777777" w:rsidR="006D64CD" w:rsidRPr="00F74127" w:rsidRDefault="006D64CD" w:rsidP="006D64CD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MT</w:t>
            </w:r>
          </w:p>
        </w:tc>
      </w:tr>
      <w:tr w:rsidR="006D64CD" w:rsidRPr="00F74127" w14:paraId="6F7D9448" w14:textId="77777777" w:rsidTr="00CE6BF3">
        <w:tc>
          <w:tcPr>
            <w:tcW w:w="2337" w:type="dxa"/>
          </w:tcPr>
          <w:p w14:paraId="2CE02F92" w14:textId="77777777" w:rsidR="006D64CD" w:rsidRPr="00F74127" w:rsidRDefault="006D64CD" w:rsidP="006D64CD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Proficient in standards</w:t>
            </w:r>
          </w:p>
        </w:tc>
        <w:tc>
          <w:tcPr>
            <w:tcW w:w="2337" w:type="dxa"/>
          </w:tcPr>
          <w:p w14:paraId="2F8DB095" w14:textId="77777777" w:rsidR="006D64CD" w:rsidRPr="00F74127" w:rsidRDefault="006D64CD" w:rsidP="006D64CD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80%-91%</w:t>
            </w:r>
          </w:p>
        </w:tc>
        <w:tc>
          <w:tcPr>
            <w:tcW w:w="2337" w:type="dxa"/>
          </w:tcPr>
          <w:p w14:paraId="69BC14F9" w14:textId="77777777" w:rsidR="006D64CD" w:rsidRPr="00F74127" w:rsidRDefault="006D64CD" w:rsidP="006D64CD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MT</w:t>
            </w:r>
          </w:p>
        </w:tc>
      </w:tr>
      <w:tr w:rsidR="006D64CD" w:rsidRPr="00F74127" w14:paraId="3B6CE0B7" w14:textId="77777777" w:rsidTr="00CE6BF3">
        <w:tc>
          <w:tcPr>
            <w:tcW w:w="2337" w:type="dxa"/>
          </w:tcPr>
          <w:p w14:paraId="3FAE89B7" w14:textId="77777777" w:rsidR="006D64CD" w:rsidRPr="00F74127" w:rsidRDefault="006D64CD" w:rsidP="006D64CD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Partially proficient in standards</w:t>
            </w:r>
          </w:p>
        </w:tc>
        <w:tc>
          <w:tcPr>
            <w:tcW w:w="2337" w:type="dxa"/>
          </w:tcPr>
          <w:p w14:paraId="25E5F930" w14:textId="77777777" w:rsidR="006D64CD" w:rsidRPr="00C47FBB" w:rsidRDefault="00483216" w:rsidP="006D64CD">
            <w:pPr>
              <w:rPr>
                <w:sz w:val="26"/>
                <w:szCs w:val="26"/>
              </w:rPr>
            </w:pPr>
            <w:r w:rsidRPr="00C47FBB">
              <w:rPr>
                <w:sz w:val="26"/>
                <w:szCs w:val="26"/>
              </w:rPr>
              <w:t>65% - 79%</w:t>
            </w:r>
          </w:p>
        </w:tc>
        <w:tc>
          <w:tcPr>
            <w:tcW w:w="2337" w:type="dxa"/>
          </w:tcPr>
          <w:p w14:paraId="029579C3" w14:textId="77777777" w:rsidR="006D64CD" w:rsidRPr="00C47FBB" w:rsidRDefault="006D64CD" w:rsidP="006D64CD">
            <w:pPr>
              <w:rPr>
                <w:sz w:val="26"/>
                <w:szCs w:val="26"/>
              </w:rPr>
            </w:pPr>
            <w:r w:rsidRPr="00C47FBB">
              <w:rPr>
                <w:sz w:val="26"/>
                <w:szCs w:val="26"/>
              </w:rPr>
              <w:t>MT</w:t>
            </w:r>
            <w:r w:rsidR="00483216" w:rsidRPr="00C47FBB">
              <w:rPr>
                <w:sz w:val="26"/>
                <w:szCs w:val="26"/>
              </w:rPr>
              <w:t>*</w:t>
            </w:r>
          </w:p>
        </w:tc>
      </w:tr>
      <w:tr w:rsidR="006D64CD" w:rsidRPr="00F74127" w14:paraId="66EA1A4E" w14:textId="77777777" w:rsidTr="00CE6BF3">
        <w:tc>
          <w:tcPr>
            <w:tcW w:w="2337" w:type="dxa"/>
          </w:tcPr>
          <w:p w14:paraId="5AF5B322" w14:textId="77777777" w:rsidR="006D64CD" w:rsidRPr="00F74127" w:rsidRDefault="006D64CD" w:rsidP="006D64CD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Well below proficient in standards</w:t>
            </w:r>
          </w:p>
        </w:tc>
        <w:tc>
          <w:tcPr>
            <w:tcW w:w="2337" w:type="dxa"/>
          </w:tcPr>
          <w:p w14:paraId="1EE60A5A" w14:textId="77777777" w:rsidR="006D64CD" w:rsidRPr="00F74127" w:rsidRDefault="006D64CD" w:rsidP="006D64CD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Below 65%</w:t>
            </w:r>
          </w:p>
        </w:tc>
        <w:tc>
          <w:tcPr>
            <w:tcW w:w="2337" w:type="dxa"/>
          </w:tcPr>
          <w:p w14:paraId="7A27E0DB" w14:textId="77777777" w:rsidR="006D64CD" w:rsidRPr="00F74127" w:rsidRDefault="006D64CD" w:rsidP="006D64CD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N</w:t>
            </w:r>
          </w:p>
        </w:tc>
      </w:tr>
      <w:tr w:rsidR="006D64CD" w:rsidRPr="00F74127" w14:paraId="2D5DB1CF" w14:textId="77777777" w:rsidTr="00CE6BF3">
        <w:tc>
          <w:tcPr>
            <w:tcW w:w="2337" w:type="dxa"/>
          </w:tcPr>
          <w:p w14:paraId="3E002024" w14:textId="77777777" w:rsidR="006D64CD" w:rsidRPr="00F74127" w:rsidRDefault="006D64CD" w:rsidP="006D64CD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Insufficient information</w:t>
            </w:r>
          </w:p>
        </w:tc>
        <w:tc>
          <w:tcPr>
            <w:tcW w:w="2337" w:type="dxa"/>
          </w:tcPr>
          <w:p w14:paraId="25DDDDF2" w14:textId="77777777" w:rsidR="006D64CD" w:rsidRPr="00F74127" w:rsidRDefault="006D64CD" w:rsidP="006D64CD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---</w:t>
            </w:r>
          </w:p>
        </w:tc>
        <w:tc>
          <w:tcPr>
            <w:tcW w:w="2337" w:type="dxa"/>
          </w:tcPr>
          <w:p w14:paraId="4B9850B9" w14:textId="77777777" w:rsidR="006D64CD" w:rsidRPr="00F74127" w:rsidRDefault="006D64CD" w:rsidP="006D64CD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N</w:t>
            </w:r>
          </w:p>
        </w:tc>
      </w:tr>
    </w:tbl>
    <w:p w14:paraId="7E7B1B8D" w14:textId="77777777" w:rsidR="009D58C3" w:rsidRPr="00F74127" w:rsidRDefault="00206ED0" w:rsidP="009D05C5">
      <w:pPr>
        <w:rPr>
          <w:sz w:val="26"/>
          <w:szCs w:val="26"/>
        </w:rPr>
      </w:pPr>
      <w:r w:rsidRPr="00F74127">
        <w:rPr>
          <w:sz w:val="26"/>
          <w:szCs w:val="26"/>
        </w:rPr>
        <w:t>*pending DOE guidance on holdovers and summer school</w:t>
      </w:r>
    </w:p>
    <w:p w14:paraId="53DCE9C1" w14:textId="77777777" w:rsidR="006D64CD" w:rsidRPr="00F74127" w:rsidRDefault="006D64CD" w:rsidP="009D05C5">
      <w:pPr>
        <w:rPr>
          <w:sz w:val="26"/>
          <w:szCs w:val="26"/>
        </w:rPr>
      </w:pPr>
    </w:p>
    <w:p w14:paraId="5D0082EE" w14:textId="77777777" w:rsidR="006D64CD" w:rsidRPr="00F74127" w:rsidRDefault="006D64CD" w:rsidP="009D05C5">
      <w:pPr>
        <w:rPr>
          <w:sz w:val="26"/>
          <w:szCs w:val="26"/>
        </w:rPr>
      </w:pPr>
      <w:r w:rsidRPr="00F74127">
        <w:rPr>
          <w:sz w:val="26"/>
          <w:szCs w:val="26"/>
        </w:rPr>
        <w:t xml:space="preserve">We are noting students </w:t>
      </w:r>
      <w:r w:rsidR="00713262">
        <w:rPr>
          <w:sz w:val="26"/>
          <w:szCs w:val="26"/>
        </w:rPr>
        <w:t xml:space="preserve">of all subgroups </w:t>
      </w:r>
      <w:r w:rsidRPr="00F74127">
        <w:rPr>
          <w:sz w:val="26"/>
          <w:szCs w:val="26"/>
        </w:rPr>
        <w:t xml:space="preserve">who </w:t>
      </w:r>
      <w:r w:rsidR="00F74127" w:rsidRPr="00F74127">
        <w:rPr>
          <w:sz w:val="26"/>
          <w:szCs w:val="26"/>
        </w:rPr>
        <w:t>have been continuously high performing throughout the school year, including remote learning</w:t>
      </w:r>
      <w:r w:rsidRPr="00F74127">
        <w:rPr>
          <w:sz w:val="26"/>
          <w:szCs w:val="26"/>
        </w:rPr>
        <w:t xml:space="preserve">, and </w:t>
      </w:r>
      <w:proofErr w:type="gramStart"/>
      <w:r w:rsidRPr="00F74127">
        <w:rPr>
          <w:sz w:val="26"/>
          <w:szCs w:val="26"/>
        </w:rPr>
        <w:t xml:space="preserve">these students will be rewarded </w:t>
      </w:r>
      <w:r w:rsidR="00F74127" w:rsidRPr="00F74127">
        <w:rPr>
          <w:sz w:val="26"/>
          <w:szCs w:val="26"/>
        </w:rPr>
        <w:t>by the district</w:t>
      </w:r>
      <w:proofErr w:type="gramEnd"/>
      <w:r w:rsidR="00F74127" w:rsidRPr="00F74127">
        <w:rPr>
          <w:sz w:val="26"/>
          <w:szCs w:val="26"/>
        </w:rPr>
        <w:t xml:space="preserve"> </w:t>
      </w:r>
      <w:r w:rsidRPr="00F74127">
        <w:rPr>
          <w:sz w:val="26"/>
          <w:szCs w:val="26"/>
        </w:rPr>
        <w:t>internally.</w:t>
      </w:r>
    </w:p>
    <w:p w14:paraId="77ABBAED" w14:textId="77777777" w:rsidR="00206ED0" w:rsidRPr="00F74127" w:rsidRDefault="00206ED0" w:rsidP="009D05C5">
      <w:pPr>
        <w:rPr>
          <w:sz w:val="26"/>
          <w:szCs w:val="26"/>
        </w:rPr>
      </w:pPr>
    </w:p>
    <w:p w14:paraId="122F0778" w14:textId="77777777" w:rsidR="004B293B" w:rsidRPr="00F74127" w:rsidRDefault="004B293B" w:rsidP="009D05C5">
      <w:pPr>
        <w:rPr>
          <w:sz w:val="26"/>
          <w:szCs w:val="26"/>
        </w:rPr>
      </w:pPr>
      <w:r w:rsidRPr="00F74127">
        <w:rPr>
          <w:sz w:val="26"/>
          <w:szCs w:val="26"/>
        </w:rPr>
        <w:t xml:space="preserve">“N must be used in cases where there is insufficient information to determine whether a student has met standards.”  </w:t>
      </w:r>
    </w:p>
    <w:p w14:paraId="313E3354" w14:textId="77777777" w:rsidR="004B293B" w:rsidRPr="00F74127" w:rsidRDefault="004B293B" w:rsidP="009D05C5">
      <w:pPr>
        <w:rPr>
          <w:sz w:val="26"/>
          <w:szCs w:val="26"/>
        </w:rPr>
      </w:pPr>
    </w:p>
    <w:p w14:paraId="3A43E1DA" w14:textId="77777777" w:rsidR="004B293B" w:rsidRPr="00F74127" w:rsidRDefault="004B293B" w:rsidP="009D05C5">
      <w:pPr>
        <w:rPr>
          <w:sz w:val="26"/>
          <w:szCs w:val="26"/>
        </w:rPr>
      </w:pPr>
      <w:r w:rsidRPr="00F74127">
        <w:rPr>
          <w:sz w:val="26"/>
          <w:szCs w:val="26"/>
        </w:rPr>
        <w:t>“For students who receive final grades of N, teachers must document students’ area</w:t>
      </w:r>
      <w:r w:rsidR="00180A03" w:rsidRPr="00F74127">
        <w:rPr>
          <w:sz w:val="26"/>
          <w:szCs w:val="26"/>
        </w:rPr>
        <w:t>s</w:t>
      </w:r>
      <w:r w:rsidRPr="00F74127">
        <w:rPr>
          <w:sz w:val="26"/>
          <w:szCs w:val="26"/>
        </w:rPr>
        <w:t xml:space="preserve"> for improvement in gradebooks, report cards, and other existing platforms for recording student progress, so that this information is accessible for further planning.  The DOE provides standards-aligned report card comments in STARS which may be used for this purpose.”</w:t>
      </w:r>
    </w:p>
    <w:p w14:paraId="593C34D9" w14:textId="77777777" w:rsidR="00F74127" w:rsidRPr="00F74127" w:rsidRDefault="00F74127" w:rsidP="009D05C5">
      <w:pPr>
        <w:rPr>
          <w:sz w:val="26"/>
          <w:szCs w:val="26"/>
        </w:rPr>
      </w:pPr>
    </w:p>
    <w:p w14:paraId="75C43BB3" w14:textId="77777777" w:rsidR="00F74127" w:rsidRPr="00F74127" w:rsidRDefault="00F74127" w:rsidP="009D05C5">
      <w:pPr>
        <w:rPr>
          <w:sz w:val="26"/>
          <w:szCs w:val="26"/>
        </w:rPr>
      </w:pPr>
    </w:p>
    <w:p w14:paraId="04333E30" w14:textId="77777777" w:rsidR="00F74127" w:rsidRPr="00F74127" w:rsidRDefault="00F74127" w:rsidP="009D05C5">
      <w:pPr>
        <w:rPr>
          <w:sz w:val="26"/>
          <w:szCs w:val="26"/>
        </w:rPr>
      </w:pPr>
    </w:p>
    <w:p w14:paraId="3CE56A2A" w14:textId="77777777" w:rsidR="00F74127" w:rsidRPr="00F74127" w:rsidRDefault="00F74127" w:rsidP="009D05C5">
      <w:pPr>
        <w:rPr>
          <w:sz w:val="26"/>
          <w:szCs w:val="26"/>
        </w:rPr>
      </w:pPr>
    </w:p>
    <w:p w14:paraId="4826A5F9" w14:textId="77777777" w:rsidR="004424D2" w:rsidRPr="00F74127" w:rsidRDefault="00D94CCB" w:rsidP="009D05C5">
      <w:pPr>
        <w:rPr>
          <w:sz w:val="26"/>
          <w:szCs w:val="26"/>
        </w:rPr>
      </w:pPr>
      <w:r w:rsidRPr="00F74127">
        <w:rPr>
          <w:sz w:val="26"/>
          <w:szCs w:val="26"/>
        </w:rPr>
        <w:t>To be consistent amongst our District 20 school</w:t>
      </w:r>
      <w:r w:rsidR="00BA7323" w:rsidRPr="00F74127">
        <w:rPr>
          <w:sz w:val="26"/>
          <w:szCs w:val="26"/>
        </w:rPr>
        <w:t>s</w:t>
      </w:r>
      <w:r w:rsidRPr="00F74127">
        <w:rPr>
          <w:sz w:val="26"/>
          <w:szCs w:val="26"/>
        </w:rPr>
        <w:t xml:space="preserve">, </w:t>
      </w:r>
      <w:r w:rsidR="002614DE" w:rsidRPr="00F74127">
        <w:rPr>
          <w:sz w:val="26"/>
          <w:szCs w:val="26"/>
        </w:rPr>
        <w:t xml:space="preserve">the following table demonstrates the remote learning interpretation of the existing grading criteria, along with </w:t>
      </w:r>
      <w:r w:rsidR="00BA7323" w:rsidRPr="00F74127">
        <w:rPr>
          <w:sz w:val="26"/>
          <w:szCs w:val="26"/>
        </w:rPr>
        <w:t>the corresponding</w:t>
      </w:r>
      <w:r w:rsidR="002614DE" w:rsidRPr="00F74127">
        <w:rPr>
          <w:sz w:val="26"/>
          <w:szCs w:val="26"/>
        </w:rPr>
        <w:t xml:space="preserve"> grade weighting:</w:t>
      </w:r>
    </w:p>
    <w:p w14:paraId="0DBA1DB2" w14:textId="77777777" w:rsidR="00BA7323" w:rsidRPr="00F74127" w:rsidRDefault="00BA7323" w:rsidP="009D05C5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14DE" w:rsidRPr="00F74127" w14:paraId="39DB178E" w14:textId="77777777" w:rsidTr="002614DE">
        <w:tc>
          <w:tcPr>
            <w:tcW w:w="3116" w:type="dxa"/>
          </w:tcPr>
          <w:p w14:paraId="38120025" w14:textId="77777777" w:rsidR="002614DE" w:rsidRPr="00F74127" w:rsidRDefault="002614DE" w:rsidP="009D05C5">
            <w:pPr>
              <w:rPr>
                <w:b/>
                <w:sz w:val="26"/>
                <w:szCs w:val="26"/>
              </w:rPr>
            </w:pPr>
            <w:r w:rsidRPr="00F74127">
              <w:rPr>
                <w:b/>
                <w:sz w:val="26"/>
                <w:szCs w:val="26"/>
              </w:rPr>
              <w:t>Existing grading criteria</w:t>
            </w:r>
          </w:p>
        </w:tc>
        <w:tc>
          <w:tcPr>
            <w:tcW w:w="3117" w:type="dxa"/>
          </w:tcPr>
          <w:p w14:paraId="259C540D" w14:textId="77777777" w:rsidR="002614DE" w:rsidRPr="00F74127" w:rsidRDefault="002614DE" w:rsidP="009D05C5">
            <w:pPr>
              <w:rPr>
                <w:b/>
                <w:sz w:val="26"/>
                <w:szCs w:val="26"/>
              </w:rPr>
            </w:pPr>
            <w:r w:rsidRPr="00F74127">
              <w:rPr>
                <w:b/>
                <w:sz w:val="26"/>
                <w:szCs w:val="26"/>
              </w:rPr>
              <w:t>Remote learning interpretation</w:t>
            </w:r>
          </w:p>
        </w:tc>
        <w:tc>
          <w:tcPr>
            <w:tcW w:w="3117" w:type="dxa"/>
          </w:tcPr>
          <w:p w14:paraId="79512A92" w14:textId="77777777" w:rsidR="002614DE" w:rsidRPr="00F74127" w:rsidRDefault="002614DE" w:rsidP="009D05C5">
            <w:pPr>
              <w:rPr>
                <w:b/>
                <w:sz w:val="26"/>
                <w:szCs w:val="26"/>
              </w:rPr>
            </w:pPr>
            <w:r w:rsidRPr="00F74127">
              <w:rPr>
                <w:b/>
                <w:sz w:val="26"/>
                <w:szCs w:val="26"/>
              </w:rPr>
              <w:t>% of marking period grade</w:t>
            </w:r>
          </w:p>
        </w:tc>
      </w:tr>
      <w:tr w:rsidR="002614DE" w:rsidRPr="00F74127" w14:paraId="577318F4" w14:textId="77777777" w:rsidTr="002614DE">
        <w:tc>
          <w:tcPr>
            <w:tcW w:w="3116" w:type="dxa"/>
          </w:tcPr>
          <w:p w14:paraId="25236772" w14:textId="77777777" w:rsidR="002614DE" w:rsidRPr="00F74127" w:rsidRDefault="002614DE" w:rsidP="009D05C5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Classroom exams</w:t>
            </w:r>
            <w:r w:rsidR="00483216">
              <w:rPr>
                <w:sz w:val="26"/>
                <w:szCs w:val="26"/>
              </w:rPr>
              <w:t>**</w:t>
            </w:r>
          </w:p>
        </w:tc>
        <w:tc>
          <w:tcPr>
            <w:tcW w:w="3117" w:type="dxa"/>
          </w:tcPr>
          <w:p w14:paraId="5A44577B" w14:textId="77777777" w:rsidR="002614DE" w:rsidRPr="00F74127" w:rsidRDefault="00483216" w:rsidP="009D0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Level of mastery on projects, reports, or any other culminating assignments</w:t>
            </w:r>
          </w:p>
        </w:tc>
        <w:tc>
          <w:tcPr>
            <w:tcW w:w="3117" w:type="dxa"/>
          </w:tcPr>
          <w:p w14:paraId="0ADCE613" w14:textId="77777777" w:rsidR="002614DE" w:rsidRPr="00F74127" w:rsidRDefault="002614DE" w:rsidP="009D05C5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45%</w:t>
            </w:r>
          </w:p>
        </w:tc>
      </w:tr>
      <w:tr w:rsidR="002614DE" w:rsidRPr="00F74127" w14:paraId="6B9FA29E" w14:textId="77777777" w:rsidTr="002614DE">
        <w:tc>
          <w:tcPr>
            <w:tcW w:w="3116" w:type="dxa"/>
          </w:tcPr>
          <w:p w14:paraId="75912F5D" w14:textId="77777777" w:rsidR="002614DE" w:rsidRPr="00F74127" w:rsidRDefault="002614DE" w:rsidP="009D05C5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Classroom participation</w:t>
            </w:r>
          </w:p>
        </w:tc>
        <w:tc>
          <w:tcPr>
            <w:tcW w:w="3117" w:type="dxa"/>
          </w:tcPr>
          <w:p w14:paraId="5DD3041C" w14:textId="77777777" w:rsidR="002614DE" w:rsidRPr="00F74127" w:rsidRDefault="002614DE" w:rsidP="001C18A5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Level</w:t>
            </w:r>
            <w:r w:rsidR="001C18A5" w:rsidRPr="00F74127">
              <w:rPr>
                <w:sz w:val="26"/>
                <w:szCs w:val="26"/>
              </w:rPr>
              <w:t xml:space="preserve"> of effort and participation in synchronous and/or asynchronous learning, including but not limited to </w:t>
            </w:r>
            <w:r w:rsidR="00BE77F8" w:rsidRPr="00F74127">
              <w:rPr>
                <w:sz w:val="26"/>
                <w:szCs w:val="26"/>
              </w:rPr>
              <w:t>completion/</w:t>
            </w:r>
            <w:r w:rsidR="00D36E75" w:rsidRPr="00F74127">
              <w:rPr>
                <w:sz w:val="26"/>
                <w:szCs w:val="26"/>
              </w:rPr>
              <w:t>submission of assignments and</w:t>
            </w:r>
            <w:r w:rsidR="001C18A5" w:rsidRPr="00F74127">
              <w:rPr>
                <w:sz w:val="26"/>
                <w:szCs w:val="26"/>
              </w:rPr>
              <w:t xml:space="preserve"> participation in remote learning activities*</w:t>
            </w:r>
          </w:p>
        </w:tc>
        <w:tc>
          <w:tcPr>
            <w:tcW w:w="3117" w:type="dxa"/>
          </w:tcPr>
          <w:p w14:paraId="035193CC" w14:textId="77777777" w:rsidR="002614DE" w:rsidRPr="00F74127" w:rsidRDefault="002614DE" w:rsidP="009D05C5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30%</w:t>
            </w:r>
          </w:p>
        </w:tc>
      </w:tr>
      <w:tr w:rsidR="002614DE" w:rsidRPr="00F74127" w14:paraId="76C1A783" w14:textId="77777777" w:rsidTr="002614DE">
        <w:tc>
          <w:tcPr>
            <w:tcW w:w="3116" w:type="dxa"/>
          </w:tcPr>
          <w:p w14:paraId="662E795D" w14:textId="77777777" w:rsidR="002614DE" w:rsidRPr="00F74127" w:rsidRDefault="002614DE" w:rsidP="009D05C5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Homework/projects</w:t>
            </w:r>
            <w:r w:rsidR="00483216">
              <w:rPr>
                <w:sz w:val="26"/>
                <w:szCs w:val="26"/>
              </w:rPr>
              <w:t>**</w:t>
            </w:r>
          </w:p>
        </w:tc>
        <w:tc>
          <w:tcPr>
            <w:tcW w:w="3117" w:type="dxa"/>
          </w:tcPr>
          <w:p w14:paraId="1FF2E032" w14:textId="77777777" w:rsidR="002614DE" w:rsidRPr="00F74127" w:rsidRDefault="002614DE" w:rsidP="00D36E75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Level of mastery</w:t>
            </w:r>
            <w:r w:rsidR="00D36E75" w:rsidRPr="00F74127">
              <w:rPr>
                <w:sz w:val="26"/>
                <w:szCs w:val="26"/>
              </w:rPr>
              <w:t xml:space="preserve"> on projects, </w:t>
            </w:r>
            <w:r w:rsidR="00BE77F8" w:rsidRPr="00F74127">
              <w:rPr>
                <w:sz w:val="26"/>
                <w:szCs w:val="26"/>
              </w:rPr>
              <w:t>reports, or any other culminating assignments</w:t>
            </w:r>
          </w:p>
        </w:tc>
        <w:tc>
          <w:tcPr>
            <w:tcW w:w="3117" w:type="dxa"/>
          </w:tcPr>
          <w:p w14:paraId="438F97DC" w14:textId="77777777" w:rsidR="002614DE" w:rsidRPr="00F74127" w:rsidRDefault="002614DE" w:rsidP="009D05C5">
            <w:pPr>
              <w:rPr>
                <w:sz w:val="26"/>
                <w:szCs w:val="26"/>
              </w:rPr>
            </w:pPr>
            <w:r w:rsidRPr="00F74127">
              <w:rPr>
                <w:sz w:val="26"/>
                <w:szCs w:val="26"/>
              </w:rPr>
              <w:t>25%</w:t>
            </w:r>
          </w:p>
        </w:tc>
      </w:tr>
    </w:tbl>
    <w:p w14:paraId="7E444F90" w14:textId="77777777" w:rsidR="002614DE" w:rsidRDefault="001C18A5" w:rsidP="009D05C5">
      <w:pPr>
        <w:rPr>
          <w:sz w:val="26"/>
          <w:szCs w:val="26"/>
        </w:rPr>
      </w:pPr>
      <w:r w:rsidRPr="00F74127">
        <w:rPr>
          <w:sz w:val="26"/>
          <w:szCs w:val="26"/>
        </w:rPr>
        <w:t>*attendance cannot be a factor in determining a grade; “…schools may not penalize students for missing remote learning sessions if they successfully demonstrate meeting the associated learning outcomes in other ways”</w:t>
      </w:r>
    </w:p>
    <w:p w14:paraId="1DAD34A3" w14:textId="77777777" w:rsidR="00483216" w:rsidRDefault="00483216" w:rsidP="009D05C5">
      <w:pPr>
        <w:rPr>
          <w:sz w:val="26"/>
          <w:szCs w:val="26"/>
        </w:rPr>
      </w:pPr>
    </w:p>
    <w:p w14:paraId="18C9054B" w14:textId="77777777" w:rsidR="00483216" w:rsidRPr="00F74127" w:rsidRDefault="00483216" w:rsidP="009D05C5">
      <w:pPr>
        <w:rPr>
          <w:sz w:val="26"/>
          <w:szCs w:val="26"/>
        </w:rPr>
      </w:pPr>
      <w:r>
        <w:rPr>
          <w:sz w:val="26"/>
          <w:szCs w:val="26"/>
        </w:rPr>
        <w:t>**3</w:t>
      </w:r>
      <w:r w:rsidRPr="00483216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marking period (this year remote learning only) classroom</w:t>
      </w:r>
      <w:r w:rsidR="00A36D99">
        <w:rPr>
          <w:sz w:val="26"/>
          <w:szCs w:val="26"/>
        </w:rPr>
        <w:t xml:space="preserve"> work, </w:t>
      </w:r>
      <w:r>
        <w:rPr>
          <w:sz w:val="26"/>
          <w:szCs w:val="26"/>
        </w:rPr>
        <w:t>projects and homework are one of the same.</w:t>
      </w:r>
    </w:p>
    <w:p w14:paraId="72DCCAEF" w14:textId="77777777" w:rsidR="002614DE" w:rsidRPr="00D94CCB" w:rsidRDefault="002614DE" w:rsidP="009D05C5"/>
    <w:p w14:paraId="1B6237F9" w14:textId="77777777" w:rsidR="004424D2" w:rsidRDefault="004424D2" w:rsidP="004424D2">
      <w:pPr>
        <w:ind w:left="720"/>
        <w:sectPr w:rsidR="004424D2" w:rsidSect="00F321F4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20A1CC2" w14:textId="77777777" w:rsidR="004424D2" w:rsidRDefault="004424D2" w:rsidP="004424D2">
      <w:pPr>
        <w:ind w:left="720"/>
      </w:pPr>
    </w:p>
    <w:p w14:paraId="78FDF505" w14:textId="77777777" w:rsidR="004424D2" w:rsidRDefault="004424D2" w:rsidP="004424D2"/>
    <w:p w14:paraId="41ADCA03" w14:textId="77777777" w:rsidR="004424D2" w:rsidRDefault="004424D2" w:rsidP="00923D14">
      <w:pPr>
        <w:sectPr w:rsidR="004424D2" w:rsidSect="004424D2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32B9F0B" w14:textId="77777777" w:rsidR="00206ED0" w:rsidRDefault="00206ED0" w:rsidP="00923D14"/>
    <w:p w14:paraId="7B814D8C" w14:textId="77777777" w:rsidR="006B2462" w:rsidRDefault="006B2462" w:rsidP="009D05C5">
      <w:pPr>
        <w:rPr>
          <w:b/>
        </w:rPr>
      </w:pPr>
    </w:p>
    <w:p w14:paraId="2A88EAEC" w14:textId="77777777" w:rsidR="00923D14" w:rsidRPr="00923D14" w:rsidRDefault="00923D14" w:rsidP="009D05C5">
      <w:pPr>
        <w:rPr>
          <w:b/>
        </w:rPr>
      </w:pPr>
    </w:p>
    <w:sectPr w:rsidR="00923D14" w:rsidRPr="00923D14" w:rsidSect="004424D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B579B"/>
    <w:multiLevelType w:val="hybridMultilevel"/>
    <w:tmpl w:val="0CAEEF3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36F41"/>
    <w:multiLevelType w:val="hybridMultilevel"/>
    <w:tmpl w:val="BF12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D1143"/>
    <w:multiLevelType w:val="hybridMultilevel"/>
    <w:tmpl w:val="F802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C5"/>
    <w:rsid w:val="00075C10"/>
    <w:rsid w:val="00180A03"/>
    <w:rsid w:val="001C18A5"/>
    <w:rsid w:val="00206ED0"/>
    <w:rsid w:val="002614DE"/>
    <w:rsid w:val="0033149B"/>
    <w:rsid w:val="003740BF"/>
    <w:rsid w:val="003834AF"/>
    <w:rsid w:val="003A476A"/>
    <w:rsid w:val="003F6E84"/>
    <w:rsid w:val="00436DF8"/>
    <w:rsid w:val="004424D2"/>
    <w:rsid w:val="0045222F"/>
    <w:rsid w:val="00483216"/>
    <w:rsid w:val="00484D3E"/>
    <w:rsid w:val="004B293B"/>
    <w:rsid w:val="004C2A1B"/>
    <w:rsid w:val="00502CD1"/>
    <w:rsid w:val="00602E16"/>
    <w:rsid w:val="0062430A"/>
    <w:rsid w:val="006B2462"/>
    <w:rsid w:val="006D64CD"/>
    <w:rsid w:val="00713262"/>
    <w:rsid w:val="007A418D"/>
    <w:rsid w:val="008818B4"/>
    <w:rsid w:val="008A3BE6"/>
    <w:rsid w:val="00923D14"/>
    <w:rsid w:val="0092506F"/>
    <w:rsid w:val="00931BE4"/>
    <w:rsid w:val="0093330E"/>
    <w:rsid w:val="009627B8"/>
    <w:rsid w:val="009D05C5"/>
    <w:rsid w:val="009D58C3"/>
    <w:rsid w:val="00A36D99"/>
    <w:rsid w:val="00A8163A"/>
    <w:rsid w:val="00A84A31"/>
    <w:rsid w:val="00AC379A"/>
    <w:rsid w:val="00B86F0D"/>
    <w:rsid w:val="00BA7323"/>
    <w:rsid w:val="00BE77F8"/>
    <w:rsid w:val="00C47FBB"/>
    <w:rsid w:val="00C53AF1"/>
    <w:rsid w:val="00CE6BF3"/>
    <w:rsid w:val="00CF6F3F"/>
    <w:rsid w:val="00D126E0"/>
    <w:rsid w:val="00D36E75"/>
    <w:rsid w:val="00D94CCB"/>
    <w:rsid w:val="00F321F4"/>
    <w:rsid w:val="00F74127"/>
    <w:rsid w:val="00F7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06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D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D14"/>
    <w:pPr>
      <w:ind w:left="720"/>
      <w:contextualSpacing/>
    </w:pPr>
  </w:style>
  <w:style w:type="table" w:styleId="TableGrid">
    <w:name w:val="Table Grid"/>
    <w:basedOn w:val="TableNormal"/>
    <w:uiPriority w:val="59"/>
    <w:rsid w:val="0093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7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D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D14"/>
    <w:pPr>
      <w:ind w:left="720"/>
      <w:contextualSpacing/>
    </w:pPr>
  </w:style>
  <w:style w:type="table" w:styleId="TableGrid">
    <w:name w:val="Table Grid"/>
    <w:basedOn w:val="TableNormal"/>
    <w:uiPriority w:val="59"/>
    <w:rsid w:val="0093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7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C:\Users\teacher\Desktop\Working%20remotely\District%2020%20Grading%20Policy.pdf" TargetMode="External"/><Relationship Id="rId7" Type="http://schemas.openxmlformats.org/officeDocument/2006/relationships/hyperlink" Target="file:///C:\Users\teacher\Desktop\Working%20remotely\grading-policy-guidance-for-remote-learning---covid-19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User</cp:lastModifiedBy>
  <cp:revision>2</cp:revision>
  <cp:lastPrinted>2016-10-28T14:42:00Z</cp:lastPrinted>
  <dcterms:created xsi:type="dcterms:W3CDTF">2020-05-14T16:14:00Z</dcterms:created>
  <dcterms:modified xsi:type="dcterms:W3CDTF">2020-05-14T16:14:00Z</dcterms:modified>
</cp:coreProperties>
</file>